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518" w:rsidRDefault="00F64518" w:rsidP="00F64518">
      <w:pPr>
        <w:spacing w:after="120"/>
        <w:rPr>
          <w:rFonts w:ascii="Times New Roman" w:hAnsi="Times New Roman"/>
          <w:sz w:val="22"/>
        </w:rPr>
      </w:pPr>
      <w:r>
        <w:rPr>
          <w:rFonts w:ascii="Times New Roman" w:hAnsi="Times New Roman"/>
          <w:sz w:val="22"/>
        </w:rPr>
        <w:t xml:space="preserve">E. </w:t>
      </w:r>
      <w:proofErr w:type="spellStart"/>
      <w:r>
        <w:rPr>
          <w:rFonts w:ascii="Times New Roman" w:hAnsi="Times New Roman"/>
          <w:sz w:val="22"/>
        </w:rPr>
        <w:t>Gidengil</w:t>
      </w:r>
      <w:proofErr w:type="spellEnd"/>
      <w:r>
        <w:rPr>
          <w:rFonts w:ascii="Times New Roman" w:hAnsi="Times New Roman"/>
          <w:sz w:val="22"/>
        </w:rPr>
        <w:t xml:space="preserve">, “Canada Votes: A Quarter Century of Canadian National Election Studies,” </w:t>
      </w:r>
      <w:r>
        <w:rPr>
          <w:rFonts w:ascii="Times New Roman" w:hAnsi="Times New Roman"/>
          <w:i/>
          <w:sz w:val="22"/>
        </w:rPr>
        <w:t xml:space="preserve">CJPS </w:t>
      </w:r>
      <w:r>
        <w:rPr>
          <w:rFonts w:ascii="Times New Roman" w:hAnsi="Times New Roman"/>
          <w:sz w:val="22"/>
        </w:rPr>
        <w:t>25:2 (June, 1992), 219-48</w:t>
      </w:r>
    </w:p>
    <w:p w:rsidR="00F64518" w:rsidRDefault="00F64518" w:rsidP="00F64518">
      <w:pPr>
        <w:spacing w:after="120"/>
        <w:rPr>
          <w:rFonts w:ascii="Times New Roman" w:hAnsi="Times New Roman"/>
          <w:b/>
          <w:sz w:val="22"/>
        </w:rPr>
      </w:pPr>
      <w:r>
        <w:rPr>
          <w:rFonts w:ascii="Times New Roman" w:hAnsi="Times New Roman"/>
          <w:b/>
          <w:sz w:val="22"/>
        </w:rPr>
        <w:t>Overview</w:t>
      </w:r>
    </w:p>
    <w:p w:rsidR="00F64518" w:rsidRDefault="00F64518" w:rsidP="00F64518">
      <w:pPr>
        <w:spacing w:after="120"/>
        <w:rPr>
          <w:rFonts w:ascii="Times New Roman" w:hAnsi="Times New Roman"/>
          <w:sz w:val="22"/>
        </w:rPr>
      </w:pPr>
      <w:r>
        <w:rPr>
          <w:rFonts w:ascii="Times New Roman" w:hAnsi="Times New Roman"/>
          <w:sz w:val="22"/>
        </w:rPr>
        <w:t xml:space="preserve">Review essay that examines the contribution of the Canadian National Election Studies to understand vote choice in Canada. Analyses using both the sociological approach and the social-psychological approach are discusses. Essay starts with a review of the debates about the role of class, region, and religion in </w:t>
      </w:r>
      <w:proofErr w:type="spellStart"/>
      <w:r>
        <w:rPr>
          <w:rFonts w:ascii="Times New Roman" w:hAnsi="Times New Roman"/>
          <w:sz w:val="22"/>
        </w:rPr>
        <w:t>Cdn</w:t>
      </w:r>
      <w:proofErr w:type="spellEnd"/>
      <w:r>
        <w:rPr>
          <w:rFonts w:ascii="Times New Roman" w:hAnsi="Times New Roman"/>
          <w:sz w:val="22"/>
        </w:rPr>
        <w:t xml:space="preserve"> voting and then discusses the applicability of the concept of party ID to Canada. The paper ultimately argues that social psychological approaches need to take the social context of political choice more seriously and points to the need for sociological approaches to conceptualize social categories as live social forces</w:t>
      </w:r>
    </w:p>
    <w:p w:rsidR="00F64518" w:rsidRDefault="00F64518" w:rsidP="00F64518">
      <w:pPr>
        <w:spacing w:after="120"/>
        <w:rPr>
          <w:rFonts w:ascii="Times New Roman" w:hAnsi="Times New Roman"/>
          <w:b/>
          <w:sz w:val="22"/>
        </w:rPr>
      </w:pPr>
      <w:r>
        <w:rPr>
          <w:rFonts w:ascii="Times New Roman" w:hAnsi="Times New Roman"/>
          <w:b/>
          <w:sz w:val="22"/>
        </w:rPr>
        <w:t>Background</w:t>
      </w:r>
    </w:p>
    <w:p w:rsidR="00F64518" w:rsidRPr="00F64518" w:rsidRDefault="00F64518" w:rsidP="00F64518">
      <w:pPr>
        <w:pStyle w:val="ListParagraph"/>
        <w:numPr>
          <w:ilvl w:val="0"/>
          <w:numId w:val="1"/>
        </w:numPr>
        <w:spacing w:after="120"/>
        <w:rPr>
          <w:rFonts w:ascii="Times New Roman" w:hAnsi="Times New Roman"/>
          <w:sz w:val="22"/>
        </w:rPr>
      </w:pPr>
      <w:r w:rsidRPr="00F64518">
        <w:rPr>
          <w:rFonts w:ascii="Times New Roman" w:hAnsi="Times New Roman"/>
          <w:sz w:val="22"/>
        </w:rPr>
        <w:t xml:space="preserve">Aspects of the current debate in the field, and the subsequent gaps in field coverage, are a cause for concern. Particularly troubling is the persistent tendency for the field to remain more or less bifurcated between explanations that emphasize societal cleavages and those that adopt a social psychological </w:t>
      </w:r>
      <w:r>
        <w:rPr>
          <w:rFonts w:ascii="Times New Roman" w:hAnsi="Times New Roman"/>
          <w:sz w:val="22"/>
        </w:rPr>
        <w:t>approach</w:t>
      </w:r>
    </w:p>
    <w:p w:rsidR="00F64518" w:rsidRDefault="00F64518" w:rsidP="00F64518">
      <w:pPr>
        <w:pStyle w:val="ListParagraph"/>
        <w:numPr>
          <w:ilvl w:val="0"/>
          <w:numId w:val="1"/>
        </w:numPr>
        <w:spacing w:after="120"/>
        <w:rPr>
          <w:rFonts w:ascii="Times New Roman" w:hAnsi="Times New Roman"/>
          <w:sz w:val="22"/>
        </w:rPr>
      </w:pPr>
      <w:r>
        <w:rPr>
          <w:rFonts w:ascii="Times New Roman" w:hAnsi="Times New Roman"/>
          <w:sz w:val="22"/>
        </w:rPr>
        <w:t xml:space="preserve">First </w:t>
      </w:r>
      <w:proofErr w:type="spellStart"/>
      <w:r>
        <w:rPr>
          <w:rFonts w:ascii="Times New Roman" w:hAnsi="Times New Roman"/>
          <w:sz w:val="22"/>
        </w:rPr>
        <w:t>Cdn</w:t>
      </w:r>
      <w:proofErr w:type="spellEnd"/>
      <w:r>
        <w:rPr>
          <w:rFonts w:ascii="Times New Roman" w:hAnsi="Times New Roman"/>
          <w:sz w:val="22"/>
        </w:rPr>
        <w:t xml:space="preserve"> NES in 1965 and 1968 were offshoots of Michigan school in their design</w:t>
      </w:r>
    </w:p>
    <w:p w:rsidR="00F64518" w:rsidRDefault="00F64518" w:rsidP="00F64518">
      <w:pPr>
        <w:pStyle w:val="ListParagraph"/>
        <w:numPr>
          <w:ilvl w:val="0"/>
          <w:numId w:val="1"/>
        </w:numPr>
        <w:spacing w:after="120"/>
        <w:rPr>
          <w:rFonts w:ascii="Times New Roman" w:hAnsi="Times New Roman"/>
          <w:sz w:val="22"/>
        </w:rPr>
      </w:pPr>
      <w:r>
        <w:rPr>
          <w:rFonts w:ascii="Times New Roman" w:hAnsi="Times New Roman"/>
          <w:sz w:val="22"/>
        </w:rPr>
        <w:t>Though the survey design was based off Michigan school, the analyses of the data reflected more the Columbia tradition (social psychological)</w:t>
      </w:r>
    </w:p>
    <w:p w:rsidR="00F64518" w:rsidRDefault="00F64518" w:rsidP="00F64518">
      <w:pPr>
        <w:pStyle w:val="ListParagraph"/>
        <w:numPr>
          <w:ilvl w:val="1"/>
          <w:numId w:val="1"/>
        </w:numPr>
        <w:spacing w:after="120"/>
        <w:rPr>
          <w:rFonts w:ascii="Times New Roman" w:hAnsi="Times New Roman"/>
          <w:sz w:val="22"/>
        </w:rPr>
      </w:pPr>
      <w:r>
        <w:rPr>
          <w:rFonts w:ascii="Times New Roman" w:hAnsi="Times New Roman"/>
          <w:sz w:val="22"/>
        </w:rPr>
        <w:t>Canada – at that time – presented “a cornucopia of intriguing anomalies” with respect to societal cleavages – including the enduring importance of regional and religious cleavages, and the corresponding weakness of class cleavages</w:t>
      </w:r>
    </w:p>
    <w:p w:rsidR="00F64518" w:rsidRDefault="00F64518" w:rsidP="00F64518">
      <w:pPr>
        <w:pStyle w:val="ListParagraph"/>
        <w:numPr>
          <w:ilvl w:val="0"/>
          <w:numId w:val="1"/>
        </w:numPr>
        <w:spacing w:after="120"/>
        <w:rPr>
          <w:rFonts w:ascii="Times New Roman" w:hAnsi="Times New Roman"/>
          <w:sz w:val="22"/>
        </w:rPr>
      </w:pPr>
      <w:r>
        <w:rPr>
          <w:rFonts w:ascii="Times New Roman" w:hAnsi="Times New Roman"/>
          <w:sz w:val="22"/>
        </w:rPr>
        <w:t>Alford first demonstrated low level of class voting in Canada – Canada as a case of “pure non-class voting” and even the use of more theoretically rigorous Marxist class categories failed to reveal more than very modest class effects (in response to Alford)</w:t>
      </w:r>
    </w:p>
    <w:p w:rsidR="00CD1B3B" w:rsidRDefault="00F64518" w:rsidP="00F64518">
      <w:pPr>
        <w:pStyle w:val="ListParagraph"/>
        <w:numPr>
          <w:ilvl w:val="1"/>
          <w:numId w:val="1"/>
        </w:numPr>
        <w:spacing w:after="120"/>
        <w:rPr>
          <w:rFonts w:ascii="Times New Roman" w:hAnsi="Times New Roman"/>
          <w:sz w:val="22"/>
        </w:rPr>
      </w:pPr>
      <w:r>
        <w:rPr>
          <w:rFonts w:ascii="Times New Roman" w:hAnsi="Times New Roman"/>
          <w:sz w:val="22"/>
        </w:rPr>
        <w:t>Recognizing that the class cleavage is at best modest at the voters’ level, the other reaction to Alford’s findings has been to accept the fact of low class voting, but to reject Alford’s rationale for it in favour of an explanation emphasizing elite manipulation</w:t>
      </w:r>
    </w:p>
    <w:p w:rsidR="00CD1B3B" w:rsidRDefault="00CD1B3B" w:rsidP="00CD1B3B">
      <w:pPr>
        <w:pStyle w:val="ListParagraph"/>
        <w:numPr>
          <w:ilvl w:val="0"/>
          <w:numId w:val="1"/>
        </w:numPr>
        <w:spacing w:after="120"/>
        <w:rPr>
          <w:rFonts w:ascii="Times New Roman" w:hAnsi="Times New Roman"/>
          <w:sz w:val="22"/>
        </w:rPr>
      </w:pPr>
      <w:proofErr w:type="spellStart"/>
      <w:r>
        <w:rPr>
          <w:rFonts w:ascii="Times New Roman" w:hAnsi="Times New Roman"/>
          <w:sz w:val="22"/>
        </w:rPr>
        <w:t>Ogmundson’s</w:t>
      </w:r>
      <w:proofErr w:type="spellEnd"/>
      <w:r>
        <w:rPr>
          <w:rFonts w:ascii="Times New Roman" w:hAnsi="Times New Roman"/>
          <w:sz w:val="22"/>
        </w:rPr>
        <w:t xml:space="preserve"> “wasted vote” thesis – was that a substantial proportion of working class </w:t>
      </w:r>
      <w:proofErr w:type="spellStart"/>
      <w:r>
        <w:rPr>
          <w:rFonts w:ascii="Times New Roman" w:hAnsi="Times New Roman"/>
          <w:sz w:val="22"/>
        </w:rPr>
        <w:t>Cdns</w:t>
      </w:r>
      <w:proofErr w:type="spellEnd"/>
      <w:r>
        <w:rPr>
          <w:rFonts w:ascii="Times New Roman" w:hAnsi="Times New Roman"/>
          <w:sz w:val="22"/>
        </w:rPr>
        <w:t xml:space="preserve"> are forgoing their “real” preferences in favour of a “realistic” alternative </w:t>
      </w:r>
    </w:p>
    <w:p w:rsidR="00ED6C92" w:rsidRDefault="00CD1B3B" w:rsidP="00CD1B3B">
      <w:pPr>
        <w:pStyle w:val="ListParagraph"/>
        <w:numPr>
          <w:ilvl w:val="1"/>
          <w:numId w:val="1"/>
        </w:numPr>
        <w:spacing w:after="120"/>
        <w:rPr>
          <w:rFonts w:ascii="Times New Roman" w:hAnsi="Times New Roman"/>
          <w:sz w:val="22"/>
        </w:rPr>
      </w:pPr>
      <w:r>
        <w:rPr>
          <w:rFonts w:ascii="Times New Roman" w:hAnsi="Times New Roman"/>
          <w:sz w:val="22"/>
        </w:rPr>
        <w:t xml:space="preserve">Received some support from </w:t>
      </w:r>
      <w:proofErr w:type="spellStart"/>
      <w:r>
        <w:rPr>
          <w:rFonts w:ascii="Times New Roman" w:hAnsi="Times New Roman"/>
          <w:sz w:val="22"/>
        </w:rPr>
        <w:t>Zipp</w:t>
      </w:r>
      <w:proofErr w:type="spellEnd"/>
      <w:r>
        <w:rPr>
          <w:rFonts w:ascii="Times New Roman" w:hAnsi="Times New Roman"/>
          <w:sz w:val="22"/>
        </w:rPr>
        <w:t xml:space="preserve"> and Smith’s finding that class voting is higher in areas of NDP strength </w:t>
      </w:r>
    </w:p>
    <w:p w:rsidR="00ED6C92" w:rsidRDefault="00ED6C92" w:rsidP="00ED6C92">
      <w:pPr>
        <w:pStyle w:val="ListParagraph"/>
        <w:numPr>
          <w:ilvl w:val="0"/>
          <w:numId w:val="1"/>
        </w:numPr>
        <w:spacing w:after="120"/>
        <w:rPr>
          <w:rFonts w:ascii="Times New Roman" w:hAnsi="Times New Roman"/>
          <w:sz w:val="22"/>
        </w:rPr>
      </w:pPr>
      <w:r>
        <w:rPr>
          <w:rFonts w:ascii="Times New Roman" w:hAnsi="Times New Roman"/>
          <w:sz w:val="22"/>
        </w:rPr>
        <w:t>Region versus class as false dichotomies? Alford’s prediction reflected a conceptualization of social class and region as mutually exclusive bases of political behaviour – one cleavage would not necessarily predominate only at the expense of the other</w:t>
      </w:r>
    </w:p>
    <w:p w:rsidR="00ED6C92" w:rsidRDefault="00ED6C92" w:rsidP="00DC5AA2">
      <w:pPr>
        <w:pStyle w:val="ListParagraph"/>
        <w:spacing w:after="120"/>
        <w:rPr>
          <w:rFonts w:ascii="Times New Roman" w:hAnsi="Times New Roman"/>
          <w:sz w:val="22"/>
        </w:rPr>
      </w:pPr>
    </w:p>
    <w:p w:rsidR="00ED6C92" w:rsidRDefault="00ED6C92" w:rsidP="00ED6C92">
      <w:pPr>
        <w:pStyle w:val="ListParagraph"/>
        <w:numPr>
          <w:ilvl w:val="0"/>
          <w:numId w:val="1"/>
        </w:numPr>
        <w:spacing w:after="120"/>
        <w:rPr>
          <w:rFonts w:ascii="Times New Roman" w:hAnsi="Times New Roman"/>
          <w:sz w:val="22"/>
        </w:rPr>
      </w:pPr>
      <w:r>
        <w:rPr>
          <w:rFonts w:ascii="Times New Roman" w:hAnsi="Times New Roman"/>
          <w:sz w:val="22"/>
        </w:rPr>
        <w:t xml:space="preserve">Religion – </w:t>
      </w:r>
      <w:proofErr w:type="spellStart"/>
      <w:r>
        <w:rPr>
          <w:rFonts w:ascii="Times New Roman" w:hAnsi="Times New Roman"/>
          <w:sz w:val="22"/>
        </w:rPr>
        <w:t>Meisel</w:t>
      </w:r>
      <w:proofErr w:type="spellEnd"/>
      <w:r>
        <w:rPr>
          <w:rFonts w:ascii="Times New Roman" w:hAnsi="Times New Roman"/>
          <w:sz w:val="22"/>
        </w:rPr>
        <w:t xml:space="preserve"> first demonstrated existence of religiou</w:t>
      </w:r>
      <w:r w:rsidR="002826F4">
        <w:rPr>
          <w:rFonts w:ascii="Times New Roman" w:hAnsi="Times New Roman"/>
          <w:sz w:val="22"/>
        </w:rPr>
        <w:t>s cleavage in his study of vote</w:t>
      </w:r>
      <w:r>
        <w:rPr>
          <w:rFonts w:ascii="Times New Roman" w:hAnsi="Times New Roman"/>
          <w:sz w:val="22"/>
        </w:rPr>
        <w:t>rs in Kingston in the early 1950s</w:t>
      </w:r>
    </w:p>
    <w:p w:rsidR="00ED6C92" w:rsidRDefault="00ED6C92" w:rsidP="00ED6C92">
      <w:pPr>
        <w:pStyle w:val="ListParagraph"/>
        <w:numPr>
          <w:ilvl w:val="0"/>
          <w:numId w:val="1"/>
        </w:numPr>
        <w:spacing w:after="120"/>
        <w:rPr>
          <w:rFonts w:ascii="Times New Roman" w:hAnsi="Times New Roman"/>
          <w:sz w:val="22"/>
        </w:rPr>
      </w:pPr>
      <w:r>
        <w:rPr>
          <w:rFonts w:ascii="Times New Roman" w:hAnsi="Times New Roman"/>
          <w:sz w:val="22"/>
        </w:rPr>
        <w:t xml:space="preserve">Johnston’s specific emphasis on the need to understand social categories as live social forces long overdue – and was the way the Columbia school had conceptualized it. </w:t>
      </w:r>
    </w:p>
    <w:p w:rsidR="002826F4" w:rsidRDefault="00ED6C92" w:rsidP="00ED6C92">
      <w:pPr>
        <w:pStyle w:val="ListParagraph"/>
        <w:numPr>
          <w:ilvl w:val="1"/>
          <w:numId w:val="1"/>
        </w:numPr>
        <w:spacing w:after="120"/>
        <w:rPr>
          <w:rFonts w:ascii="Times New Roman" w:hAnsi="Times New Roman"/>
          <w:sz w:val="22"/>
        </w:rPr>
      </w:pPr>
      <w:r>
        <w:rPr>
          <w:rFonts w:ascii="Times New Roman" w:hAnsi="Times New Roman"/>
          <w:sz w:val="22"/>
        </w:rPr>
        <w:t>In this conception, social categories not seen as being important in themselves</w:t>
      </w:r>
      <w:r w:rsidR="002826F4">
        <w:rPr>
          <w:rFonts w:ascii="Times New Roman" w:hAnsi="Times New Roman"/>
          <w:sz w:val="22"/>
        </w:rPr>
        <w:t>, but as indicators of present and past primary contacts with family members, workmates, friends and neighbours – incorporates the notion that “contact breeds consensus” and that cross-pressures can make for a “breakage effect”</w:t>
      </w:r>
    </w:p>
    <w:p w:rsidR="002826F4" w:rsidRDefault="002826F4" w:rsidP="00DC5AA2">
      <w:pPr>
        <w:pStyle w:val="ListParagraph"/>
        <w:spacing w:after="120"/>
        <w:rPr>
          <w:rFonts w:ascii="Times New Roman" w:hAnsi="Times New Roman"/>
          <w:sz w:val="22"/>
        </w:rPr>
      </w:pPr>
    </w:p>
    <w:p w:rsidR="002826F4" w:rsidRDefault="002826F4" w:rsidP="002826F4">
      <w:pPr>
        <w:pStyle w:val="ListParagraph"/>
        <w:numPr>
          <w:ilvl w:val="0"/>
          <w:numId w:val="1"/>
        </w:numPr>
        <w:spacing w:after="120"/>
        <w:rPr>
          <w:rFonts w:ascii="Times New Roman" w:hAnsi="Times New Roman"/>
          <w:sz w:val="22"/>
        </w:rPr>
      </w:pPr>
      <w:r>
        <w:rPr>
          <w:rFonts w:ascii="Times New Roman" w:hAnsi="Times New Roman"/>
          <w:sz w:val="22"/>
        </w:rPr>
        <w:t>Party ID – is it a meaningful concept in Canada?</w:t>
      </w:r>
    </w:p>
    <w:p w:rsidR="002826F4" w:rsidRDefault="002826F4" w:rsidP="002826F4">
      <w:pPr>
        <w:pStyle w:val="ListParagraph"/>
        <w:numPr>
          <w:ilvl w:val="1"/>
          <w:numId w:val="1"/>
        </w:numPr>
        <w:spacing w:after="120"/>
        <w:rPr>
          <w:rFonts w:ascii="Times New Roman" w:hAnsi="Times New Roman"/>
          <w:sz w:val="22"/>
        </w:rPr>
      </w:pPr>
      <w:r>
        <w:rPr>
          <w:rFonts w:ascii="Times New Roman" w:hAnsi="Times New Roman"/>
          <w:sz w:val="22"/>
        </w:rPr>
        <w:t>Core variable in the original Michigan model – conceptualized as a psychological identification, rooted in long-term processes of political socialization in which the family played a key role. Party ID involved a feeling of closeness, an attachment to a particular party; just a people identify with their religious or ethnic group, so the also identify with a particular party</w:t>
      </w:r>
    </w:p>
    <w:p w:rsidR="002826F4" w:rsidRDefault="002826F4" w:rsidP="002826F4">
      <w:pPr>
        <w:pStyle w:val="ListParagraph"/>
        <w:numPr>
          <w:ilvl w:val="1"/>
          <w:numId w:val="1"/>
        </w:numPr>
        <w:spacing w:after="120"/>
        <w:rPr>
          <w:rFonts w:ascii="Times New Roman" w:hAnsi="Times New Roman"/>
          <w:sz w:val="22"/>
        </w:rPr>
      </w:pPr>
      <w:r>
        <w:rPr>
          <w:rFonts w:ascii="Times New Roman" w:hAnsi="Times New Roman"/>
          <w:sz w:val="22"/>
        </w:rPr>
        <w:t>Since parties, like other grounds, tend to be quite stable in terms of what they stand for, party ID could appropriately be viewed as a long-term stabilizing component of voting choice</w:t>
      </w:r>
    </w:p>
    <w:p w:rsidR="00532AC0" w:rsidRDefault="002826F4" w:rsidP="002826F4">
      <w:pPr>
        <w:pStyle w:val="ListParagraph"/>
        <w:numPr>
          <w:ilvl w:val="1"/>
          <w:numId w:val="1"/>
        </w:numPr>
        <w:spacing w:after="120"/>
        <w:rPr>
          <w:rFonts w:ascii="Times New Roman" w:hAnsi="Times New Roman"/>
          <w:sz w:val="22"/>
        </w:rPr>
      </w:pPr>
      <w:r>
        <w:rPr>
          <w:rFonts w:ascii="Times New Roman" w:hAnsi="Times New Roman"/>
          <w:sz w:val="22"/>
        </w:rPr>
        <w:t>HOWEVER, we should not expect the concept of party ID to travel that well – as Canada lacks the institutional arrangements – party primaries, multiple ballots – that encourage US votes to develop a deep sense of party ID that is distinct from their vote for a particular candidate</w:t>
      </w:r>
    </w:p>
    <w:p w:rsidR="00532AC0" w:rsidRDefault="00532AC0" w:rsidP="00532AC0">
      <w:pPr>
        <w:pStyle w:val="ListParagraph"/>
        <w:numPr>
          <w:ilvl w:val="0"/>
          <w:numId w:val="1"/>
        </w:numPr>
        <w:spacing w:after="120"/>
        <w:rPr>
          <w:rFonts w:ascii="Times New Roman" w:hAnsi="Times New Roman"/>
          <w:sz w:val="22"/>
        </w:rPr>
      </w:pPr>
      <w:r>
        <w:rPr>
          <w:rFonts w:ascii="Times New Roman" w:hAnsi="Times New Roman"/>
          <w:sz w:val="22"/>
        </w:rPr>
        <w:t>Refusing to accept the notion that the concept of party ID was inapplicable to Canada, Jenson and Elkins both attempted to show that party ID was distinguishable from current vote preference</w:t>
      </w:r>
    </w:p>
    <w:p w:rsidR="00532AC0" w:rsidRDefault="00532AC0" w:rsidP="00532AC0">
      <w:pPr>
        <w:pStyle w:val="ListParagraph"/>
        <w:numPr>
          <w:ilvl w:val="1"/>
          <w:numId w:val="1"/>
        </w:numPr>
        <w:spacing w:after="120"/>
        <w:rPr>
          <w:rFonts w:ascii="Times New Roman" w:hAnsi="Times New Roman"/>
          <w:sz w:val="22"/>
        </w:rPr>
      </w:pPr>
      <w:r>
        <w:rPr>
          <w:rFonts w:ascii="Times New Roman" w:hAnsi="Times New Roman"/>
          <w:sz w:val="22"/>
        </w:rPr>
        <w:t xml:space="preserve">Jenson’s argument hinged on conceptualization of party ID as a continuum – while Elkins took on a similar argument, suggesting that we must distinguish between the nature of party ID and its frequency – </w:t>
      </w:r>
    </w:p>
    <w:p w:rsidR="00532AC0" w:rsidRDefault="00532AC0" w:rsidP="00532AC0">
      <w:pPr>
        <w:pStyle w:val="ListParagraph"/>
        <w:numPr>
          <w:ilvl w:val="2"/>
          <w:numId w:val="1"/>
        </w:numPr>
        <w:spacing w:after="120"/>
        <w:rPr>
          <w:rFonts w:ascii="Times New Roman" w:hAnsi="Times New Roman"/>
          <w:sz w:val="22"/>
        </w:rPr>
      </w:pPr>
      <w:r>
        <w:rPr>
          <w:rFonts w:ascii="Times New Roman" w:hAnsi="Times New Roman"/>
          <w:sz w:val="22"/>
        </w:rPr>
        <w:t>The pattern of relationships between infidelity – the failure to vote for one’s party and/or maintain one’s identification over time – and the intensity of party ID was similar to the US pattern, though absolute levels of fidelity were lower in Canada</w:t>
      </w:r>
    </w:p>
    <w:p w:rsidR="00532AC0" w:rsidRDefault="00532AC0" w:rsidP="00532AC0">
      <w:pPr>
        <w:pStyle w:val="ListParagraph"/>
        <w:numPr>
          <w:ilvl w:val="0"/>
          <w:numId w:val="1"/>
        </w:numPr>
        <w:spacing w:after="120"/>
        <w:rPr>
          <w:rFonts w:ascii="Times New Roman" w:hAnsi="Times New Roman"/>
          <w:sz w:val="22"/>
        </w:rPr>
      </w:pPr>
      <w:r>
        <w:rPr>
          <w:rFonts w:ascii="Times New Roman" w:hAnsi="Times New Roman"/>
          <w:sz w:val="22"/>
        </w:rPr>
        <w:t>Leduc et al fully rejected party ID as a meaningful concept in Canada due to voter volatility</w:t>
      </w:r>
    </w:p>
    <w:p w:rsidR="00532AC0" w:rsidRDefault="00532AC0" w:rsidP="00DC5AA2">
      <w:pPr>
        <w:pStyle w:val="ListParagraph"/>
        <w:spacing w:after="120"/>
        <w:rPr>
          <w:rFonts w:ascii="Times New Roman" w:hAnsi="Times New Roman"/>
          <w:sz w:val="22"/>
        </w:rPr>
      </w:pPr>
    </w:p>
    <w:p w:rsidR="00B177E1" w:rsidRDefault="00532AC0" w:rsidP="00532AC0">
      <w:pPr>
        <w:pStyle w:val="ListParagraph"/>
        <w:numPr>
          <w:ilvl w:val="0"/>
          <w:numId w:val="1"/>
        </w:numPr>
        <w:spacing w:after="120"/>
        <w:rPr>
          <w:rFonts w:ascii="Times New Roman" w:hAnsi="Times New Roman"/>
          <w:sz w:val="22"/>
        </w:rPr>
      </w:pPr>
      <w:r>
        <w:rPr>
          <w:rFonts w:ascii="Times New Roman" w:hAnsi="Times New Roman"/>
          <w:sz w:val="22"/>
        </w:rPr>
        <w:t xml:space="preserve">Political Choice model (Clarke et al) – developed by Clarke after having found that, even in combination, the several societal cleavages (region, religion, ethnicity, </w:t>
      </w:r>
      <w:r w:rsidR="00B177E1">
        <w:rPr>
          <w:rFonts w:ascii="Times New Roman" w:hAnsi="Times New Roman"/>
          <w:sz w:val="22"/>
        </w:rPr>
        <w:t xml:space="preserve">subjective social class, community size, age and gender) could explain no more than 11% of the variance in voting for either major parties. They thus concluded that any adequate explanation of electoral choice would have to focus on </w:t>
      </w:r>
      <w:proofErr w:type="spellStart"/>
      <w:r w:rsidR="00B177E1">
        <w:rPr>
          <w:rFonts w:ascii="Times New Roman" w:hAnsi="Times New Roman"/>
          <w:sz w:val="22"/>
        </w:rPr>
        <w:t>Cdn’s</w:t>
      </w:r>
      <w:proofErr w:type="spellEnd"/>
      <w:r w:rsidR="00B177E1">
        <w:rPr>
          <w:rFonts w:ascii="Times New Roman" w:hAnsi="Times New Roman"/>
          <w:sz w:val="22"/>
        </w:rPr>
        <w:t xml:space="preserve"> psychological attachments to salient political objects – their beliefs, attitudes and perceptions regarding the parties, their leaders, and their issue positions</w:t>
      </w:r>
    </w:p>
    <w:p w:rsidR="00B177E1" w:rsidRDefault="00B177E1" w:rsidP="00DC5AA2">
      <w:pPr>
        <w:pStyle w:val="ListParagraph"/>
        <w:spacing w:after="120"/>
        <w:rPr>
          <w:rFonts w:ascii="Times New Roman" w:hAnsi="Times New Roman"/>
          <w:sz w:val="22"/>
        </w:rPr>
      </w:pPr>
    </w:p>
    <w:p w:rsidR="009E7881" w:rsidRDefault="00B177E1" w:rsidP="00532AC0">
      <w:pPr>
        <w:pStyle w:val="ListParagraph"/>
        <w:numPr>
          <w:ilvl w:val="0"/>
          <w:numId w:val="1"/>
        </w:numPr>
        <w:spacing w:after="120"/>
        <w:rPr>
          <w:rFonts w:ascii="Times New Roman" w:hAnsi="Times New Roman"/>
          <w:sz w:val="22"/>
        </w:rPr>
      </w:pPr>
      <w:r>
        <w:rPr>
          <w:rFonts w:ascii="Times New Roman" w:hAnsi="Times New Roman"/>
          <w:sz w:val="22"/>
        </w:rPr>
        <w:t>The finding that party ID remained the single best predictor of voting for each of the parties certainly raises the possibility that voters’ stated party IDs simply reflected their current vote preference, and in both models party ID could in</w:t>
      </w:r>
      <w:r w:rsidR="009E7881">
        <w:rPr>
          <w:rFonts w:ascii="Times New Roman" w:hAnsi="Times New Roman"/>
          <w:sz w:val="22"/>
        </w:rPr>
        <w:t>d</w:t>
      </w:r>
      <w:r>
        <w:rPr>
          <w:rFonts w:ascii="Times New Roman" w:hAnsi="Times New Roman"/>
          <w:sz w:val="22"/>
        </w:rPr>
        <w:t>eed be explained partly as a response to one of both of the short-term forces of issue proximity and leader evaluations. The strongest determinant of party ID in both studies, however, was previous vote. This ultimately renders both models unsatis</w:t>
      </w:r>
      <w:r w:rsidR="009E7881">
        <w:rPr>
          <w:rFonts w:ascii="Times New Roman" w:hAnsi="Times New Roman"/>
          <w:sz w:val="22"/>
        </w:rPr>
        <w:t>f</w:t>
      </w:r>
      <w:r>
        <w:rPr>
          <w:rFonts w:ascii="Times New Roman" w:hAnsi="Times New Roman"/>
          <w:sz w:val="22"/>
        </w:rPr>
        <w:t xml:space="preserve">ying as </w:t>
      </w:r>
      <w:r w:rsidR="009E7881">
        <w:rPr>
          <w:rFonts w:ascii="Times New Roman" w:hAnsi="Times New Roman"/>
          <w:sz w:val="22"/>
        </w:rPr>
        <w:t>explanations of vote choice.</w:t>
      </w:r>
    </w:p>
    <w:p w:rsidR="009E7881" w:rsidRDefault="009E7881" w:rsidP="009E7881">
      <w:pPr>
        <w:spacing w:after="120"/>
        <w:rPr>
          <w:rFonts w:ascii="Times New Roman" w:hAnsi="Times New Roman"/>
          <w:b/>
          <w:sz w:val="22"/>
        </w:rPr>
      </w:pPr>
      <w:r w:rsidRPr="009E7881">
        <w:rPr>
          <w:rFonts w:ascii="Times New Roman" w:hAnsi="Times New Roman"/>
          <w:b/>
          <w:sz w:val="22"/>
        </w:rPr>
        <w:t>Conclusions</w:t>
      </w:r>
    </w:p>
    <w:p w:rsidR="009E7881" w:rsidRPr="009E7881" w:rsidRDefault="009E7881" w:rsidP="009E7881">
      <w:pPr>
        <w:pStyle w:val="ListParagraph"/>
        <w:numPr>
          <w:ilvl w:val="0"/>
          <w:numId w:val="1"/>
        </w:numPr>
        <w:spacing w:after="120"/>
        <w:rPr>
          <w:rFonts w:ascii="Times New Roman" w:hAnsi="Times New Roman"/>
          <w:sz w:val="22"/>
        </w:rPr>
      </w:pPr>
      <w:r w:rsidRPr="009E7881">
        <w:rPr>
          <w:rFonts w:ascii="Times New Roman" w:hAnsi="Times New Roman"/>
          <w:sz w:val="22"/>
        </w:rPr>
        <w:t xml:space="preserve">As it stands, social-psychological approach leaves us with few insights into how </w:t>
      </w:r>
      <w:proofErr w:type="spellStart"/>
      <w:r w:rsidRPr="009E7881">
        <w:rPr>
          <w:rFonts w:ascii="Times New Roman" w:hAnsi="Times New Roman"/>
          <w:sz w:val="22"/>
        </w:rPr>
        <w:t>Cdns</w:t>
      </w:r>
      <w:proofErr w:type="spellEnd"/>
      <w:r w:rsidRPr="009E7881">
        <w:rPr>
          <w:rFonts w:ascii="Times New Roman" w:hAnsi="Times New Roman"/>
          <w:sz w:val="22"/>
        </w:rPr>
        <w:t xml:space="preserve"> actually come to form their attitudes toward the salient political objects, and at the very least we need to ask what sorts of people are most likely to remain stable in their voting choice, what predisposes others to have more flexible attachments, etc</w:t>
      </w:r>
    </w:p>
    <w:p w:rsidR="009E7881" w:rsidRDefault="009E7881" w:rsidP="009E7881">
      <w:pPr>
        <w:pStyle w:val="ListParagraph"/>
        <w:numPr>
          <w:ilvl w:val="0"/>
          <w:numId w:val="1"/>
        </w:numPr>
        <w:spacing w:after="120"/>
        <w:rPr>
          <w:rFonts w:ascii="Times New Roman" w:hAnsi="Times New Roman"/>
          <w:sz w:val="22"/>
        </w:rPr>
      </w:pPr>
      <w:r>
        <w:rPr>
          <w:rFonts w:ascii="Times New Roman" w:hAnsi="Times New Roman"/>
          <w:sz w:val="22"/>
        </w:rPr>
        <w:t xml:space="preserve">More generally, we need to incorporate into our models of vote choice some understanding of the way </w:t>
      </w:r>
      <w:proofErr w:type="spellStart"/>
      <w:r>
        <w:rPr>
          <w:rFonts w:ascii="Times New Roman" w:hAnsi="Times New Roman"/>
          <w:sz w:val="22"/>
        </w:rPr>
        <w:t>Cdns</w:t>
      </w:r>
      <w:proofErr w:type="spellEnd"/>
      <w:r>
        <w:rPr>
          <w:rFonts w:ascii="Times New Roman" w:hAnsi="Times New Roman"/>
          <w:sz w:val="22"/>
        </w:rPr>
        <w:t xml:space="preserve"> structure their thinking about politics.</w:t>
      </w:r>
    </w:p>
    <w:p w:rsidR="009E7881" w:rsidRDefault="009E7881" w:rsidP="009E7881">
      <w:pPr>
        <w:pStyle w:val="ListParagraph"/>
        <w:numPr>
          <w:ilvl w:val="0"/>
          <w:numId w:val="1"/>
        </w:numPr>
        <w:spacing w:after="120"/>
        <w:rPr>
          <w:rFonts w:ascii="Times New Roman" w:hAnsi="Times New Roman"/>
          <w:sz w:val="22"/>
        </w:rPr>
      </w:pPr>
      <w:r>
        <w:rPr>
          <w:rFonts w:ascii="Times New Roman" w:hAnsi="Times New Roman"/>
          <w:sz w:val="22"/>
        </w:rPr>
        <w:t>Important gaps in coverage remain – little has changed in the 15 years since Elkins and Blake first called for greater attention to the role of psychological variables and particularly personality traits in explaining political behaviour</w:t>
      </w:r>
    </w:p>
    <w:p w:rsidR="00F64518" w:rsidRPr="009E7881" w:rsidRDefault="009E7881" w:rsidP="009E7881">
      <w:pPr>
        <w:pStyle w:val="ListParagraph"/>
        <w:numPr>
          <w:ilvl w:val="0"/>
          <w:numId w:val="1"/>
        </w:numPr>
        <w:spacing w:after="120"/>
        <w:rPr>
          <w:rFonts w:ascii="Times New Roman" w:hAnsi="Times New Roman"/>
          <w:sz w:val="22"/>
        </w:rPr>
      </w:pPr>
      <w:r>
        <w:rPr>
          <w:rFonts w:ascii="Times New Roman" w:hAnsi="Times New Roman"/>
          <w:sz w:val="22"/>
        </w:rPr>
        <w:t>On the psychological and sociological factors, two bases of social differentiation were conspicuously absent from the earlier discussions of sociological approaches to vote choice: ethnicity and gender</w:t>
      </w:r>
    </w:p>
    <w:p w:rsidR="00F64518" w:rsidRDefault="00F64518"/>
    <w:sectPr w:rsidR="00F64518" w:rsidSect="00F64518">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07164"/>
    <w:multiLevelType w:val="hybridMultilevel"/>
    <w:tmpl w:val="9E96557A"/>
    <w:lvl w:ilvl="0" w:tplc="FB70888C">
      <w:start w:val="5"/>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64518"/>
    <w:rsid w:val="002826F4"/>
    <w:rsid w:val="00532AC0"/>
    <w:rsid w:val="005C20E4"/>
    <w:rsid w:val="009E7881"/>
    <w:rsid w:val="00B177E1"/>
    <w:rsid w:val="00CD1B3B"/>
    <w:rsid w:val="00DC5AA2"/>
    <w:rsid w:val="00ED6C92"/>
    <w:rsid w:val="00F6451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51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6451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3376</Characters>
  <Application>Microsoft Macintosh Word</Application>
  <DocSecurity>0</DocSecurity>
  <Lines>28</Lines>
  <Paragraphs>6</Paragraphs>
  <ScaleCrop>false</ScaleCrop>
  <LinksUpToDate>false</LinksUpToDate>
  <CharactersWithSpaces>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dcterms:created xsi:type="dcterms:W3CDTF">2012-05-11T19:35:00Z</dcterms:created>
  <dcterms:modified xsi:type="dcterms:W3CDTF">2012-05-11T19:35:00Z</dcterms:modified>
</cp:coreProperties>
</file>